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2F" w:rsidRPr="003E2AE3" w:rsidRDefault="003E2AE3" w:rsidP="00BB024A">
      <w:pPr>
        <w:spacing w:after="0"/>
        <w:jc w:val="center"/>
        <w:rPr>
          <w:b/>
          <w:sz w:val="32"/>
          <w:szCs w:val="32"/>
        </w:rPr>
      </w:pPr>
      <w:r w:rsidRPr="003E2AE3">
        <w:rPr>
          <w:b/>
          <w:sz w:val="32"/>
          <w:szCs w:val="32"/>
        </w:rPr>
        <w:t>WAYNE TOWNSHIP LAND DEVELOPMENT FEE SCHEDULE</w:t>
      </w:r>
    </w:p>
    <w:p w:rsidR="003E2AE3" w:rsidRDefault="003E2AE3" w:rsidP="00BB024A">
      <w:pPr>
        <w:spacing w:after="0"/>
        <w:jc w:val="center"/>
        <w:rPr>
          <w:b/>
          <w:sz w:val="18"/>
          <w:szCs w:val="18"/>
        </w:rPr>
      </w:pPr>
      <w:r w:rsidRPr="003E2AE3">
        <w:rPr>
          <w:b/>
          <w:sz w:val="32"/>
          <w:szCs w:val="32"/>
        </w:rPr>
        <w:t>ADOPTED JUNE 19, 2017</w:t>
      </w:r>
    </w:p>
    <w:p w:rsidR="00BB024A" w:rsidRPr="00BB024A" w:rsidRDefault="00BB024A" w:rsidP="00BB024A">
      <w:pPr>
        <w:spacing w:after="0"/>
        <w:jc w:val="center"/>
        <w:rPr>
          <w:b/>
          <w:sz w:val="18"/>
          <w:szCs w:val="18"/>
        </w:rPr>
      </w:pPr>
    </w:p>
    <w:tbl>
      <w:tblPr>
        <w:tblStyle w:val="LightShading"/>
        <w:tblW w:w="9522" w:type="dxa"/>
        <w:tblInd w:w="18"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8" w:space="0" w:color="000000" w:themeColor="text1"/>
          <w:insideV w:val="single" w:sz="8" w:space="0" w:color="000000" w:themeColor="text1"/>
        </w:tblBorders>
        <w:tblLook w:val="04A0"/>
      </w:tblPr>
      <w:tblGrid>
        <w:gridCol w:w="2358"/>
        <w:gridCol w:w="1350"/>
        <w:gridCol w:w="2322"/>
        <w:gridCol w:w="3492"/>
      </w:tblGrid>
      <w:tr w:rsidR="003E2AE3" w:rsidTr="00E53F4A">
        <w:trPr>
          <w:cnfStyle w:val="100000000000"/>
        </w:trPr>
        <w:tc>
          <w:tcPr>
            <w:cnfStyle w:val="001000000000"/>
            <w:tcW w:w="2358" w:type="dxa"/>
            <w:tcBorders>
              <w:top w:val="single" w:sz="18" w:space="0" w:color="000000" w:themeColor="text1"/>
              <w:left w:val="none" w:sz="0" w:space="0" w:color="auto"/>
              <w:bottom w:val="single" w:sz="18" w:space="0" w:color="000000" w:themeColor="text1"/>
              <w:right w:val="single" w:sz="18" w:space="0" w:color="000000" w:themeColor="text1"/>
            </w:tcBorders>
            <w:vAlign w:val="center"/>
          </w:tcPr>
          <w:p w:rsidR="003E2AE3" w:rsidRPr="003E2AE3" w:rsidRDefault="003E2AE3" w:rsidP="003E2AE3">
            <w:pPr>
              <w:jc w:val="center"/>
              <w:rPr>
                <w:sz w:val="28"/>
                <w:szCs w:val="28"/>
              </w:rPr>
            </w:pPr>
            <w:r w:rsidRPr="003E2AE3">
              <w:rPr>
                <w:sz w:val="28"/>
                <w:szCs w:val="28"/>
              </w:rPr>
              <w:t>Application Type</w:t>
            </w:r>
          </w:p>
        </w:tc>
        <w:tc>
          <w:tcPr>
            <w:tcW w:w="1350"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E2AE3" w:rsidRPr="003E2AE3" w:rsidRDefault="003E2AE3" w:rsidP="003E2AE3">
            <w:pPr>
              <w:jc w:val="center"/>
              <w:cnfStyle w:val="100000000000"/>
              <w:rPr>
                <w:sz w:val="28"/>
                <w:szCs w:val="28"/>
              </w:rPr>
            </w:pPr>
            <w:r w:rsidRPr="003E2AE3">
              <w:rPr>
                <w:sz w:val="28"/>
                <w:szCs w:val="28"/>
              </w:rPr>
              <w:t>Deposit</w:t>
            </w:r>
          </w:p>
        </w:tc>
        <w:tc>
          <w:tcPr>
            <w:tcW w:w="2322" w:type="dxa"/>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3E2AE3" w:rsidRPr="003E2AE3" w:rsidRDefault="003E2AE3" w:rsidP="003E2AE3">
            <w:pPr>
              <w:jc w:val="center"/>
              <w:cnfStyle w:val="100000000000"/>
              <w:rPr>
                <w:sz w:val="28"/>
                <w:szCs w:val="28"/>
              </w:rPr>
            </w:pPr>
            <w:r w:rsidRPr="003E2AE3">
              <w:rPr>
                <w:sz w:val="28"/>
                <w:szCs w:val="28"/>
              </w:rPr>
              <w:t>Administrative</w:t>
            </w:r>
          </w:p>
        </w:tc>
        <w:tc>
          <w:tcPr>
            <w:tcW w:w="3492" w:type="dxa"/>
            <w:tcBorders>
              <w:top w:val="single" w:sz="18" w:space="0" w:color="000000" w:themeColor="text1"/>
              <w:left w:val="single" w:sz="18" w:space="0" w:color="000000" w:themeColor="text1"/>
              <w:bottom w:val="single" w:sz="18" w:space="0" w:color="000000" w:themeColor="text1"/>
              <w:right w:val="none" w:sz="0" w:space="0" w:color="auto"/>
            </w:tcBorders>
            <w:vAlign w:val="center"/>
          </w:tcPr>
          <w:p w:rsidR="003E2AE3" w:rsidRPr="003E2AE3" w:rsidRDefault="003E2AE3" w:rsidP="003E2AE3">
            <w:pPr>
              <w:jc w:val="center"/>
              <w:cnfStyle w:val="100000000000"/>
              <w:rPr>
                <w:sz w:val="28"/>
                <w:szCs w:val="28"/>
              </w:rPr>
            </w:pPr>
            <w:r w:rsidRPr="003E2AE3">
              <w:rPr>
                <w:sz w:val="28"/>
                <w:szCs w:val="28"/>
              </w:rPr>
              <w:t>Engineer/Professional Consultants</w:t>
            </w:r>
          </w:p>
        </w:tc>
      </w:tr>
      <w:tr w:rsidR="00BB024A" w:rsidTr="00E53F4A">
        <w:trPr>
          <w:cnfStyle w:val="000000100000"/>
        </w:trPr>
        <w:tc>
          <w:tcPr>
            <w:cnfStyle w:val="001000000000"/>
            <w:tcW w:w="2358" w:type="dxa"/>
            <w:tcBorders>
              <w:top w:val="single" w:sz="18" w:space="0" w:color="000000" w:themeColor="text1"/>
              <w:left w:val="none" w:sz="0" w:space="0" w:color="auto"/>
              <w:right w:val="none" w:sz="0" w:space="0" w:color="auto"/>
            </w:tcBorders>
          </w:tcPr>
          <w:p w:rsidR="003E2AE3" w:rsidRDefault="003E2AE3" w:rsidP="003E2AE3">
            <w:pPr>
              <w:jc w:val="center"/>
              <w:rPr>
                <w:b w:val="0"/>
                <w:sz w:val="32"/>
                <w:szCs w:val="32"/>
              </w:rPr>
            </w:pPr>
          </w:p>
        </w:tc>
        <w:tc>
          <w:tcPr>
            <w:tcW w:w="1350" w:type="dxa"/>
            <w:tcBorders>
              <w:top w:val="single" w:sz="18" w:space="0" w:color="000000" w:themeColor="text1"/>
              <w:left w:val="none" w:sz="0" w:space="0" w:color="auto"/>
              <w:right w:val="none" w:sz="0" w:space="0" w:color="auto"/>
            </w:tcBorders>
          </w:tcPr>
          <w:p w:rsidR="003E2AE3" w:rsidRDefault="003E2AE3" w:rsidP="003E2AE3">
            <w:pPr>
              <w:jc w:val="center"/>
              <w:cnfStyle w:val="000000100000"/>
              <w:rPr>
                <w:b/>
                <w:sz w:val="32"/>
                <w:szCs w:val="32"/>
              </w:rPr>
            </w:pPr>
          </w:p>
        </w:tc>
        <w:tc>
          <w:tcPr>
            <w:tcW w:w="2322" w:type="dxa"/>
            <w:tcBorders>
              <w:top w:val="single" w:sz="18" w:space="0" w:color="000000" w:themeColor="text1"/>
              <w:left w:val="none" w:sz="0" w:space="0" w:color="auto"/>
              <w:right w:val="none" w:sz="0" w:space="0" w:color="auto"/>
            </w:tcBorders>
          </w:tcPr>
          <w:p w:rsidR="003E2AE3" w:rsidRDefault="003E2AE3" w:rsidP="003E2AE3">
            <w:pPr>
              <w:jc w:val="center"/>
              <w:cnfStyle w:val="000000100000"/>
              <w:rPr>
                <w:b/>
                <w:sz w:val="32"/>
                <w:szCs w:val="32"/>
              </w:rPr>
            </w:pPr>
          </w:p>
        </w:tc>
        <w:tc>
          <w:tcPr>
            <w:tcW w:w="3492" w:type="dxa"/>
            <w:tcBorders>
              <w:top w:val="single" w:sz="18" w:space="0" w:color="000000" w:themeColor="text1"/>
              <w:left w:val="none" w:sz="0" w:space="0" w:color="auto"/>
              <w:right w:val="none" w:sz="0" w:space="0" w:color="auto"/>
            </w:tcBorders>
          </w:tcPr>
          <w:p w:rsidR="003E2AE3" w:rsidRDefault="003E2AE3" w:rsidP="003E2AE3">
            <w:pPr>
              <w:jc w:val="center"/>
              <w:cnfStyle w:val="000000100000"/>
              <w:rPr>
                <w:b/>
                <w:sz w:val="32"/>
                <w:szCs w:val="32"/>
              </w:rPr>
            </w:pPr>
          </w:p>
        </w:tc>
      </w:tr>
      <w:tr w:rsidR="003E2AE3" w:rsidRPr="003E2AE3" w:rsidTr="00E53F4A">
        <w:tc>
          <w:tcPr>
            <w:cnfStyle w:val="001000000000"/>
            <w:tcW w:w="2358" w:type="dxa"/>
          </w:tcPr>
          <w:p w:rsidR="003E2AE3" w:rsidRPr="003E2AE3" w:rsidRDefault="003E2AE3" w:rsidP="003E2AE3">
            <w:pPr>
              <w:jc w:val="center"/>
              <w:rPr>
                <w:b w:val="0"/>
                <w:sz w:val="24"/>
                <w:szCs w:val="24"/>
              </w:rPr>
            </w:pPr>
            <w:r w:rsidRPr="003E2AE3">
              <w:rPr>
                <w:b w:val="0"/>
                <w:sz w:val="24"/>
                <w:szCs w:val="24"/>
              </w:rPr>
              <w:t>Zoning Variance</w:t>
            </w:r>
          </w:p>
        </w:tc>
        <w:tc>
          <w:tcPr>
            <w:tcW w:w="1350" w:type="dxa"/>
          </w:tcPr>
          <w:p w:rsidR="003E2AE3" w:rsidRPr="003E2AE3" w:rsidRDefault="003E2AE3" w:rsidP="003E2AE3">
            <w:pPr>
              <w:jc w:val="center"/>
              <w:cnfStyle w:val="000000000000"/>
              <w:rPr>
                <w:sz w:val="24"/>
                <w:szCs w:val="24"/>
              </w:rPr>
            </w:pPr>
            <w:r w:rsidRPr="003E2AE3">
              <w:rPr>
                <w:sz w:val="24"/>
                <w:szCs w:val="24"/>
              </w:rPr>
              <w:t>$450.00</w:t>
            </w:r>
          </w:p>
        </w:tc>
        <w:tc>
          <w:tcPr>
            <w:tcW w:w="2322" w:type="dxa"/>
          </w:tcPr>
          <w:p w:rsidR="003E2AE3" w:rsidRPr="003E2AE3" w:rsidRDefault="003E2AE3" w:rsidP="003E2AE3">
            <w:pPr>
              <w:jc w:val="center"/>
              <w:cnfStyle w:val="000000000000"/>
              <w:rPr>
                <w:sz w:val="24"/>
                <w:szCs w:val="24"/>
              </w:rPr>
            </w:pPr>
            <w:r w:rsidRPr="003E2AE3">
              <w:rPr>
                <w:sz w:val="24"/>
                <w:szCs w:val="24"/>
              </w:rPr>
              <w:t>N/A</w:t>
            </w:r>
          </w:p>
        </w:tc>
        <w:tc>
          <w:tcPr>
            <w:tcW w:w="3492" w:type="dxa"/>
          </w:tcPr>
          <w:p w:rsidR="003E2AE3" w:rsidRPr="003E2AE3" w:rsidRDefault="003E2AE3" w:rsidP="003E2AE3">
            <w:pPr>
              <w:jc w:val="center"/>
              <w:cnfStyle w:val="000000000000"/>
              <w:rPr>
                <w:sz w:val="24"/>
                <w:szCs w:val="24"/>
              </w:rPr>
            </w:pPr>
            <w:r w:rsidRPr="003E2AE3">
              <w:rPr>
                <w:sz w:val="24"/>
                <w:szCs w:val="24"/>
              </w:rPr>
              <w:t>N/A</w:t>
            </w:r>
          </w:p>
        </w:tc>
      </w:tr>
      <w:tr w:rsidR="00040DF5" w:rsidRPr="003E2AE3" w:rsidTr="00E53F4A">
        <w:trPr>
          <w:cnfStyle w:val="000000100000"/>
        </w:trPr>
        <w:tc>
          <w:tcPr>
            <w:cnfStyle w:val="001000000000"/>
            <w:tcW w:w="2358" w:type="dxa"/>
            <w:tcBorders>
              <w:left w:val="none" w:sz="0" w:space="0" w:color="auto"/>
              <w:right w:val="none" w:sz="0" w:space="0" w:color="auto"/>
            </w:tcBorders>
          </w:tcPr>
          <w:p w:rsidR="003E2AE3" w:rsidRPr="003E2AE3" w:rsidRDefault="003E2AE3" w:rsidP="003E2AE3">
            <w:pPr>
              <w:jc w:val="center"/>
              <w:rPr>
                <w:b w:val="0"/>
                <w:sz w:val="24"/>
                <w:szCs w:val="24"/>
              </w:rPr>
            </w:pPr>
          </w:p>
        </w:tc>
        <w:tc>
          <w:tcPr>
            <w:tcW w:w="1350" w:type="dxa"/>
            <w:tcBorders>
              <w:left w:val="none" w:sz="0" w:space="0" w:color="auto"/>
              <w:right w:val="none" w:sz="0" w:space="0" w:color="auto"/>
            </w:tcBorders>
          </w:tcPr>
          <w:p w:rsidR="003E2AE3" w:rsidRPr="003E2AE3" w:rsidRDefault="003E2AE3" w:rsidP="003E2AE3">
            <w:pPr>
              <w:jc w:val="center"/>
              <w:cnfStyle w:val="000000100000"/>
              <w:rPr>
                <w:sz w:val="24"/>
                <w:szCs w:val="24"/>
              </w:rPr>
            </w:pPr>
          </w:p>
        </w:tc>
        <w:tc>
          <w:tcPr>
            <w:tcW w:w="2322" w:type="dxa"/>
            <w:tcBorders>
              <w:left w:val="none" w:sz="0" w:space="0" w:color="auto"/>
              <w:right w:val="none" w:sz="0" w:space="0" w:color="auto"/>
            </w:tcBorders>
          </w:tcPr>
          <w:p w:rsidR="003E2AE3" w:rsidRPr="003E2AE3" w:rsidRDefault="003E2AE3" w:rsidP="003E2AE3">
            <w:pPr>
              <w:jc w:val="center"/>
              <w:cnfStyle w:val="000000100000"/>
              <w:rPr>
                <w:sz w:val="24"/>
                <w:szCs w:val="24"/>
              </w:rPr>
            </w:pPr>
          </w:p>
        </w:tc>
        <w:tc>
          <w:tcPr>
            <w:tcW w:w="3492" w:type="dxa"/>
            <w:tcBorders>
              <w:left w:val="none" w:sz="0" w:space="0" w:color="auto"/>
              <w:right w:val="none" w:sz="0" w:space="0" w:color="auto"/>
            </w:tcBorders>
          </w:tcPr>
          <w:p w:rsidR="003E2AE3" w:rsidRPr="003E2AE3" w:rsidRDefault="003E2AE3" w:rsidP="003E2AE3">
            <w:pPr>
              <w:jc w:val="center"/>
              <w:cnfStyle w:val="000000100000"/>
              <w:rPr>
                <w:sz w:val="24"/>
                <w:szCs w:val="24"/>
              </w:rPr>
            </w:pPr>
          </w:p>
        </w:tc>
      </w:tr>
      <w:tr w:rsidR="003E2AE3" w:rsidRPr="003E2AE3" w:rsidTr="00E53F4A">
        <w:tc>
          <w:tcPr>
            <w:cnfStyle w:val="001000000000"/>
            <w:tcW w:w="2358" w:type="dxa"/>
          </w:tcPr>
          <w:p w:rsidR="003E2AE3" w:rsidRPr="003E2AE3" w:rsidRDefault="003E2AE3" w:rsidP="003E2AE3">
            <w:pPr>
              <w:jc w:val="center"/>
              <w:rPr>
                <w:b w:val="0"/>
                <w:sz w:val="24"/>
                <w:szCs w:val="24"/>
              </w:rPr>
            </w:pPr>
            <w:r w:rsidRPr="003E2AE3">
              <w:rPr>
                <w:b w:val="0"/>
                <w:sz w:val="24"/>
                <w:szCs w:val="24"/>
              </w:rPr>
              <w:t>Special Exception</w:t>
            </w:r>
          </w:p>
        </w:tc>
        <w:tc>
          <w:tcPr>
            <w:tcW w:w="1350" w:type="dxa"/>
          </w:tcPr>
          <w:p w:rsidR="003E2AE3" w:rsidRPr="003E2AE3" w:rsidRDefault="003E2AE3" w:rsidP="003E2AE3">
            <w:pPr>
              <w:jc w:val="center"/>
              <w:cnfStyle w:val="000000000000"/>
              <w:rPr>
                <w:sz w:val="24"/>
                <w:szCs w:val="24"/>
              </w:rPr>
            </w:pPr>
            <w:r>
              <w:rPr>
                <w:sz w:val="24"/>
                <w:szCs w:val="24"/>
              </w:rPr>
              <w:t>$450.00</w:t>
            </w:r>
          </w:p>
        </w:tc>
        <w:tc>
          <w:tcPr>
            <w:tcW w:w="2322" w:type="dxa"/>
          </w:tcPr>
          <w:p w:rsidR="003E2AE3" w:rsidRPr="003E2AE3" w:rsidRDefault="003E2AE3" w:rsidP="003E2AE3">
            <w:pPr>
              <w:jc w:val="center"/>
              <w:cnfStyle w:val="000000000000"/>
              <w:rPr>
                <w:sz w:val="24"/>
                <w:szCs w:val="24"/>
              </w:rPr>
            </w:pPr>
            <w:r>
              <w:rPr>
                <w:sz w:val="24"/>
                <w:szCs w:val="24"/>
              </w:rPr>
              <w:t>N/A</w:t>
            </w:r>
          </w:p>
        </w:tc>
        <w:tc>
          <w:tcPr>
            <w:tcW w:w="3492" w:type="dxa"/>
          </w:tcPr>
          <w:p w:rsidR="003E2AE3" w:rsidRPr="003E2AE3" w:rsidRDefault="003E2AE3" w:rsidP="003E2AE3">
            <w:pPr>
              <w:jc w:val="center"/>
              <w:cnfStyle w:val="000000000000"/>
              <w:rPr>
                <w:sz w:val="24"/>
                <w:szCs w:val="24"/>
              </w:rPr>
            </w:pPr>
            <w:r>
              <w:rPr>
                <w:sz w:val="24"/>
                <w:szCs w:val="24"/>
              </w:rPr>
              <w:t>N/A</w:t>
            </w:r>
          </w:p>
        </w:tc>
      </w:tr>
      <w:tr w:rsidR="00040DF5" w:rsidRPr="003E2AE3" w:rsidTr="00E53F4A">
        <w:trPr>
          <w:cnfStyle w:val="000000100000"/>
        </w:trPr>
        <w:tc>
          <w:tcPr>
            <w:cnfStyle w:val="001000000000"/>
            <w:tcW w:w="2358" w:type="dxa"/>
            <w:tcBorders>
              <w:left w:val="none" w:sz="0" w:space="0" w:color="auto"/>
              <w:right w:val="none" w:sz="0" w:space="0" w:color="auto"/>
            </w:tcBorders>
          </w:tcPr>
          <w:p w:rsidR="003E2AE3" w:rsidRPr="003E2AE3" w:rsidRDefault="003E2AE3" w:rsidP="003E2AE3">
            <w:pPr>
              <w:jc w:val="center"/>
              <w:rPr>
                <w:b w:val="0"/>
                <w:sz w:val="24"/>
                <w:szCs w:val="24"/>
              </w:rPr>
            </w:pPr>
          </w:p>
        </w:tc>
        <w:tc>
          <w:tcPr>
            <w:tcW w:w="1350" w:type="dxa"/>
            <w:tcBorders>
              <w:left w:val="none" w:sz="0" w:space="0" w:color="auto"/>
              <w:right w:val="none" w:sz="0" w:space="0" w:color="auto"/>
            </w:tcBorders>
          </w:tcPr>
          <w:p w:rsidR="003E2AE3" w:rsidRPr="003E2AE3" w:rsidRDefault="003E2AE3" w:rsidP="003E2AE3">
            <w:pPr>
              <w:jc w:val="center"/>
              <w:cnfStyle w:val="000000100000"/>
              <w:rPr>
                <w:sz w:val="24"/>
                <w:szCs w:val="24"/>
              </w:rPr>
            </w:pPr>
          </w:p>
        </w:tc>
        <w:tc>
          <w:tcPr>
            <w:tcW w:w="2322" w:type="dxa"/>
            <w:tcBorders>
              <w:left w:val="none" w:sz="0" w:space="0" w:color="auto"/>
              <w:right w:val="none" w:sz="0" w:space="0" w:color="auto"/>
            </w:tcBorders>
          </w:tcPr>
          <w:p w:rsidR="003E2AE3" w:rsidRPr="003E2AE3" w:rsidRDefault="003E2AE3" w:rsidP="003E2AE3">
            <w:pPr>
              <w:jc w:val="center"/>
              <w:cnfStyle w:val="000000100000"/>
              <w:rPr>
                <w:sz w:val="24"/>
                <w:szCs w:val="24"/>
              </w:rPr>
            </w:pPr>
          </w:p>
        </w:tc>
        <w:tc>
          <w:tcPr>
            <w:tcW w:w="3492" w:type="dxa"/>
            <w:tcBorders>
              <w:left w:val="none" w:sz="0" w:space="0" w:color="auto"/>
              <w:right w:val="none" w:sz="0" w:space="0" w:color="auto"/>
            </w:tcBorders>
          </w:tcPr>
          <w:p w:rsidR="003E2AE3" w:rsidRPr="003E2AE3" w:rsidRDefault="003E2AE3" w:rsidP="003E2AE3">
            <w:pPr>
              <w:jc w:val="center"/>
              <w:cnfStyle w:val="000000100000"/>
              <w:rPr>
                <w:sz w:val="24"/>
                <w:szCs w:val="24"/>
              </w:rPr>
            </w:pPr>
          </w:p>
        </w:tc>
      </w:tr>
      <w:tr w:rsidR="003E2AE3" w:rsidRPr="003E2AE3" w:rsidTr="00E53F4A">
        <w:tc>
          <w:tcPr>
            <w:cnfStyle w:val="001000000000"/>
            <w:tcW w:w="2358" w:type="dxa"/>
          </w:tcPr>
          <w:p w:rsidR="003E2AE3" w:rsidRPr="003E2AE3" w:rsidRDefault="003E2AE3" w:rsidP="003E2AE3">
            <w:pPr>
              <w:jc w:val="center"/>
              <w:rPr>
                <w:b w:val="0"/>
                <w:sz w:val="24"/>
                <w:szCs w:val="24"/>
              </w:rPr>
            </w:pPr>
            <w:r>
              <w:rPr>
                <w:b w:val="0"/>
                <w:sz w:val="24"/>
                <w:szCs w:val="24"/>
              </w:rPr>
              <w:t>Conditional Use</w:t>
            </w:r>
          </w:p>
        </w:tc>
        <w:tc>
          <w:tcPr>
            <w:tcW w:w="1350" w:type="dxa"/>
          </w:tcPr>
          <w:p w:rsidR="003E2AE3" w:rsidRPr="003E2AE3" w:rsidRDefault="003E2AE3" w:rsidP="003E2AE3">
            <w:pPr>
              <w:jc w:val="center"/>
              <w:cnfStyle w:val="000000000000"/>
              <w:rPr>
                <w:sz w:val="24"/>
                <w:szCs w:val="24"/>
              </w:rPr>
            </w:pPr>
            <w:r>
              <w:rPr>
                <w:sz w:val="24"/>
                <w:szCs w:val="24"/>
              </w:rPr>
              <w:t>$450.00</w:t>
            </w:r>
          </w:p>
        </w:tc>
        <w:tc>
          <w:tcPr>
            <w:tcW w:w="2322" w:type="dxa"/>
          </w:tcPr>
          <w:p w:rsidR="003E2AE3" w:rsidRPr="003E2AE3" w:rsidRDefault="003E2AE3" w:rsidP="003E2AE3">
            <w:pPr>
              <w:jc w:val="center"/>
              <w:cnfStyle w:val="000000000000"/>
              <w:rPr>
                <w:sz w:val="24"/>
                <w:szCs w:val="24"/>
              </w:rPr>
            </w:pPr>
            <w:r>
              <w:rPr>
                <w:sz w:val="24"/>
                <w:szCs w:val="24"/>
              </w:rPr>
              <w:t>N/A</w:t>
            </w:r>
          </w:p>
        </w:tc>
        <w:tc>
          <w:tcPr>
            <w:tcW w:w="3492" w:type="dxa"/>
          </w:tcPr>
          <w:p w:rsidR="003E2AE3" w:rsidRPr="003E2AE3" w:rsidRDefault="003E2AE3" w:rsidP="003E2AE3">
            <w:pPr>
              <w:jc w:val="center"/>
              <w:cnfStyle w:val="000000000000"/>
              <w:rPr>
                <w:sz w:val="24"/>
                <w:szCs w:val="24"/>
              </w:rPr>
            </w:pPr>
            <w:r>
              <w:rPr>
                <w:sz w:val="24"/>
                <w:szCs w:val="24"/>
              </w:rPr>
              <w:t>N/A</w:t>
            </w:r>
          </w:p>
        </w:tc>
      </w:tr>
      <w:tr w:rsidR="003E2AE3" w:rsidRPr="003E2AE3" w:rsidTr="00E53F4A">
        <w:trPr>
          <w:cnfStyle w:val="000000100000"/>
          <w:trHeight w:val="331"/>
        </w:trPr>
        <w:tc>
          <w:tcPr>
            <w:cnfStyle w:val="001000000000"/>
            <w:tcW w:w="2358" w:type="dxa"/>
            <w:tcBorders>
              <w:left w:val="none" w:sz="0" w:space="0" w:color="auto"/>
              <w:right w:val="none" w:sz="0" w:space="0" w:color="auto"/>
            </w:tcBorders>
          </w:tcPr>
          <w:p w:rsidR="003E2AE3" w:rsidRPr="003E2AE3" w:rsidRDefault="003E2AE3" w:rsidP="003E2AE3">
            <w:pPr>
              <w:jc w:val="center"/>
              <w:rPr>
                <w:sz w:val="24"/>
                <w:szCs w:val="24"/>
              </w:rPr>
            </w:pPr>
          </w:p>
        </w:tc>
        <w:tc>
          <w:tcPr>
            <w:tcW w:w="1350" w:type="dxa"/>
            <w:tcBorders>
              <w:left w:val="none" w:sz="0" w:space="0" w:color="auto"/>
              <w:right w:val="none" w:sz="0" w:space="0" w:color="auto"/>
            </w:tcBorders>
          </w:tcPr>
          <w:p w:rsidR="003E2AE3" w:rsidRPr="003E2AE3" w:rsidRDefault="003E2AE3" w:rsidP="003E2AE3">
            <w:pPr>
              <w:jc w:val="center"/>
              <w:cnfStyle w:val="000000100000"/>
              <w:rPr>
                <w:sz w:val="24"/>
                <w:szCs w:val="24"/>
              </w:rPr>
            </w:pPr>
          </w:p>
        </w:tc>
        <w:tc>
          <w:tcPr>
            <w:tcW w:w="2322" w:type="dxa"/>
            <w:tcBorders>
              <w:left w:val="none" w:sz="0" w:space="0" w:color="auto"/>
              <w:right w:val="none" w:sz="0" w:space="0" w:color="auto"/>
            </w:tcBorders>
          </w:tcPr>
          <w:p w:rsidR="003E2AE3" w:rsidRPr="003E2AE3" w:rsidRDefault="003E2AE3" w:rsidP="003E2AE3">
            <w:pPr>
              <w:jc w:val="center"/>
              <w:cnfStyle w:val="000000100000"/>
              <w:rPr>
                <w:sz w:val="24"/>
                <w:szCs w:val="24"/>
              </w:rPr>
            </w:pPr>
          </w:p>
        </w:tc>
        <w:tc>
          <w:tcPr>
            <w:tcW w:w="3492" w:type="dxa"/>
            <w:tcBorders>
              <w:left w:val="none" w:sz="0" w:space="0" w:color="auto"/>
              <w:right w:val="none" w:sz="0" w:space="0" w:color="auto"/>
            </w:tcBorders>
          </w:tcPr>
          <w:p w:rsidR="003E2AE3" w:rsidRPr="003E2AE3" w:rsidRDefault="003E2AE3" w:rsidP="003E2AE3">
            <w:pPr>
              <w:jc w:val="center"/>
              <w:cnfStyle w:val="000000100000"/>
              <w:rPr>
                <w:sz w:val="24"/>
                <w:szCs w:val="24"/>
              </w:rPr>
            </w:pPr>
          </w:p>
        </w:tc>
      </w:tr>
      <w:tr w:rsidR="00040DF5" w:rsidRPr="003E2AE3" w:rsidTr="00E53F4A">
        <w:tc>
          <w:tcPr>
            <w:cnfStyle w:val="001000000000"/>
            <w:tcW w:w="2358" w:type="dxa"/>
            <w:vAlign w:val="center"/>
          </w:tcPr>
          <w:p w:rsidR="00040DF5" w:rsidRPr="00040DF5" w:rsidRDefault="00040DF5" w:rsidP="00040DF5">
            <w:pPr>
              <w:jc w:val="center"/>
              <w:rPr>
                <w:b w:val="0"/>
                <w:sz w:val="24"/>
                <w:szCs w:val="24"/>
              </w:rPr>
            </w:pPr>
            <w:r>
              <w:rPr>
                <w:b w:val="0"/>
                <w:sz w:val="24"/>
                <w:szCs w:val="24"/>
              </w:rPr>
              <w:t>Appeal of Zoning Violation</w:t>
            </w:r>
          </w:p>
        </w:tc>
        <w:tc>
          <w:tcPr>
            <w:tcW w:w="1350" w:type="dxa"/>
            <w:vAlign w:val="center"/>
          </w:tcPr>
          <w:p w:rsidR="00040DF5" w:rsidRPr="003E2AE3" w:rsidRDefault="00040DF5" w:rsidP="00040DF5">
            <w:pPr>
              <w:jc w:val="center"/>
              <w:cnfStyle w:val="000000000000"/>
              <w:rPr>
                <w:sz w:val="24"/>
                <w:szCs w:val="24"/>
              </w:rPr>
            </w:pPr>
            <w:r>
              <w:rPr>
                <w:sz w:val="24"/>
                <w:szCs w:val="24"/>
              </w:rPr>
              <w:t>$750.00</w:t>
            </w:r>
          </w:p>
        </w:tc>
        <w:tc>
          <w:tcPr>
            <w:tcW w:w="5814" w:type="dxa"/>
            <w:gridSpan w:val="2"/>
            <w:vAlign w:val="center"/>
          </w:tcPr>
          <w:p w:rsidR="00040DF5" w:rsidRPr="00040DF5" w:rsidRDefault="00040DF5" w:rsidP="00040DF5">
            <w:pPr>
              <w:jc w:val="center"/>
              <w:cnfStyle w:val="000000000000"/>
              <w:rPr>
                <w:b/>
              </w:rPr>
            </w:pPr>
            <w:r w:rsidRPr="00040DF5">
              <w:rPr>
                <w:b/>
              </w:rPr>
              <w:t>Fee will be refunded to applicant if appeal is successful. However, if the Applicant loses, the Applicant will be responsible for paying all costs associated with hearing over and above initial $750 deposit.</w:t>
            </w:r>
          </w:p>
        </w:tc>
      </w:tr>
      <w:tr w:rsidR="00040DF5" w:rsidRPr="003E2AE3" w:rsidTr="00E53F4A">
        <w:trPr>
          <w:cnfStyle w:val="000000100000"/>
        </w:trPr>
        <w:tc>
          <w:tcPr>
            <w:cnfStyle w:val="001000000000"/>
            <w:tcW w:w="2358" w:type="dxa"/>
            <w:tcBorders>
              <w:left w:val="none" w:sz="0" w:space="0" w:color="auto"/>
              <w:right w:val="none" w:sz="0" w:space="0" w:color="auto"/>
            </w:tcBorders>
          </w:tcPr>
          <w:p w:rsidR="003E2AE3" w:rsidRPr="003E2AE3" w:rsidRDefault="003E2AE3" w:rsidP="003E2AE3">
            <w:pPr>
              <w:jc w:val="center"/>
              <w:rPr>
                <w:b w:val="0"/>
                <w:sz w:val="24"/>
                <w:szCs w:val="24"/>
              </w:rPr>
            </w:pPr>
          </w:p>
        </w:tc>
        <w:tc>
          <w:tcPr>
            <w:tcW w:w="1350" w:type="dxa"/>
            <w:tcBorders>
              <w:left w:val="none" w:sz="0" w:space="0" w:color="auto"/>
              <w:right w:val="none" w:sz="0" w:space="0" w:color="auto"/>
            </w:tcBorders>
          </w:tcPr>
          <w:p w:rsidR="003E2AE3" w:rsidRPr="003E2AE3" w:rsidRDefault="003E2AE3" w:rsidP="003E2AE3">
            <w:pPr>
              <w:jc w:val="center"/>
              <w:cnfStyle w:val="000000100000"/>
              <w:rPr>
                <w:sz w:val="24"/>
                <w:szCs w:val="24"/>
              </w:rPr>
            </w:pPr>
          </w:p>
        </w:tc>
        <w:tc>
          <w:tcPr>
            <w:tcW w:w="2322" w:type="dxa"/>
            <w:tcBorders>
              <w:left w:val="none" w:sz="0" w:space="0" w:color="auto"/>
              <w:right w:val="none" w:sz="0" w:space="0" w:color="auto"/>
            </w:tcBorders>
          </w:tcPr>
          <w:p w:rsidR="003E2AE3" w:rsidRPr="003E2AE3" w:rsidRDefault="003E2AE3" w:rsidP="003E2AE3">
            <w:pPr>
              <w:jc w:val="center"/>
              <w:cnfStyle w:val="000000100000"/>
              <w:rPr>
                <w:sz w:val="24"/>
                <w:szCs w:val="24"/>
              </w:rPr>
            </w:pPr>
          </w:p>
        </w:tc>
        <w:tc>
          <w:tcPr>
            <w:tcW w:w="3492" w:type="dxa"/>
            <w:tcBorders>
              <w:left w:val="none" w:sz="0" w:space="0" w:color="auto"/>
              <w:right w:val="none" w:sz="0" w:space="0" w:color="auto"/>
            </w:tcBorders>
          </w:tcPr>
          <w:p w:rsidR="003E2AE3" w:rsidRPr="003E2AE3" w:rsidRDefault="003E2AE3" w:rsidP="003E2AE3">
            <w:pPr>
              <w:jc w:val="center"/>
              <w:cnfStyle w:val="000000100000"/>
              <w:rPr>
                <w:sz w:val="24"/>
                <w:szCs w:val="24"/>
              </w:rPr>
            </w:pPr>
          </w:p>
        </w:tc>
      </w:tr>
      <w:tr w:rsidR="003E2AE3" w:rsidRPr="003E2AE3" w:rsidTr="00E53F4A">
        <w:tc>
          <w:tcPr>
            <w:cnfStyle w:val="001000000000"/>
            <w:tcW w:w="2358" w:type="dxa"/>
          </w:tcPr>
          <w:p w:rsidR="003E2AE3" w:rsidRPr="003E2AE3" w:rsidRDefault="003E2AE3" w:rsidP="003E2AE3">
            <w:pPr>
              <w:jc w:val="center"/>
              <w:rPr>
                <w:b w:val="0"/>
                <w:sz w:val="24"/>
                <w:szCs w:val="24"/>
              </w:rPr>
            </w:pPr>
            <w:r>
              <w:rPr>
                <w:b w:val="0"/>
                <w:sz w:val="24"/>
                <w:szCs w:val="24"/>
              </w:rPr>
              <w:t>Minor Subdivision **3 or fewer lots</w:t>
            </w:r>
          </w:p>
        </w:tc>
        <w:tc>
          <w:tcPr>
            <w:tcW w:w="1350" w:type="dxa"/>
            <w:vAlign w:val="center"/>
          </w:tcPr>
          <w:p w:rsidR="003E2AE3" w:rsidRPr="003E2AE3" w:rsidRDefault="003E2AE3" w:rsidP="003E2AE3">
            <w:pPr>
              <w:jc w:val="center"/>
              <w:cnfStyle w:val="000000000000"/>
              <w:rPr>
                <w:sz w:val="24"/>
                <w:szCs w:val="24"/>
              </w:rPr>
            </w:pPr>
            <w:r>
              <w:rPr>
                <w:sz w:val="24"/>
                <w:szCs w:val="24"/>
              </w:rPr>
              <w:t>$0.00</w:t>
            </w:r>
          </w:p>
        </w:tc>
        <w:tc>
          <w:tcPr>
            <w:tcW w:w="2322" w:type="dxa"/>
            <w:vAlign w:val="center"/>
          </w:tcPr>
          <w:p w:rsidR="003E2AE3" w:rsidRPr="003E2AE3" w:rsidRDefault="003E2AE3" w:rsidP="003E2AE3">
            <w:pPr>
              <w:jc w:val="center"/>
              <w:cnfStyle w:val="000000000000"/>
              <w:rPr>
                <w:sz w:val="24"/>
                <w:szCs w:val="24"/>
              </w:rPr>
            </w:pPr>
            <w:r>
              <w:rPr>
                <w:sz w:val="24"/>
                <w:szCs w:val="24"/>
              </w:rPr>
              <w:t>N/A</w:t>
            </w:r>
          </w:p>
        </w:tc>
        <w:tc>
          <w:tcPr>
            <w:tcW w:w="3492" w:type="dxa"/>
            <w:vAlign w:val="center"/>
          </w:tcPr>
          <w:p w:rsidR="003E2AE3" w:rsidRPr="003E2AE3" w:rsidRDefault="003E2AE3" w:rsidP="003E2AE3">
            <w:pPr>
              <w:jc w:val="center"/>
              <w:cnfStyle w:val="000000000000"/>
              <w:rPr>
                <w:sz w:val="24"/>
                <w:szCs w:val="24"/>
              </w:rPr>
            </w:pPr>
            <w:r>
              <w:rPr>
                <w:sz w:val="24"/>
                <w:szCs w:val="24"/>
              </w:rPr>
              <w:t>N/A</w:t>
            </w:r>
          </w:p>
        </w:tc>
      </w:tr>
      <w:tr w:rsidR="00040DF5" w:rsidRPr="003E2AE3" w:rsidTr="00E53F4A">
        <w:trPr>
          <w:cnfStyle w:val="000000100000"/>
        </w:trPr>
        <w:tc>
          <w:tcPr>
            <w:cnfStyle w:val="001000000000"/>
            <w:tcW w:w="2358" w:type="dxa"/>
            <w:tcBorders>
              <w:left w:val="none" w:sz="0" w:space="0" w:color="auto"/>
              <w:right w:val="none" w:sz="0" w:space="0" w:color="auto"/>
            </w:tcBorders>
          </w:tcPr>
          <w:p w:rsidR="00040DF5" w:rsidRPr="003E2AE3" w:rsidRDefault="00040DF5" w:rsidP="003E2AE3">
            <w:pPr>
              <w:jc w:val="center"/>
              <w:rPr>
                <w:sz w:val="24"/>
                <w:szCs w:val="24"/>
              </w:rPr>
            </w:pPr>
          </w:p>
        </w:tc>
        <w:tc>
          <w:tcPr>
            <w:tcW w:w="1350" w:type="dxa"/>
            <w:tcBorders>
              <w:left w:val="none" w:sz="0" w:space="0" w:color="auto"/>
              <w:right w:val="none" w:sz="0" w:space="0" w:color="auto"/>
            </w:tcBorders>
          </w:tcPr>
          <w:p w:rsidR="00040DF5" w:rsidRPr="003E2AE3" w:rsidRDefault="00040DF5" w:rsidP="003E2AE3">
            <w:pPr>
              <w:jc w:val="center"/>
              <w:cnfStyle w:val="000000100000"/>
              <w:rPr>
                <w:sz w:val="24"/>
                <w:szCs w:val="24"/>
              </w:rPr>
            </w:pPr>
          </w:p>
        </w:tc>
        <w:tc>
          <w:tcPr>
            <w:tcW w:w="2322" w:type="dxa"/>
            <w:tcBorders>
              <w:left w:val="none" w:sz="0" w:space="0" w:color="auto"/>
              <w:right w:val="none" w:sz="0" w:space="0" w:color="auto"/>
            </w:tcBorders>
          </w:tcPr>
          <w:p w:rsidR="00040DF5" w:rsidRPr="003E2AE3" w:rsidRDefault="00040DF5" w:rsidP="003E2AE3">
            <w:pPr>
              <w:jc w:val="center"/>
              <w:cnfStyle w:val="000000100000"/>
              <w:rPr>
                <w:sz w:val="24"/>
                <w:szCs w:val="24"/>
              </w:rPr>
            </w:pPr>
          </w:p>
        </w:tc>
        <w:tc>
          <w:tcPr>
            <w:tcW w:w="3492" w:type="dxa"/>
            <w:tcBorders>
              <w:left w:val="none" w:sz="0" w:space="0" w:color="auto"/>
              <w:right w:val="none" w:sz="0" w:space="0" w:color="auto"/>
            </w:tcBorders>
          </w:tcPr>
          <w:p w:rsidR="00040DF5" w:rsidRPr="003E2AE3" w:rsidRDefault="00040DF5" w:rsidP="003E2AE3">
            <w:pPr>
              <w:ind w:right="-83"/>
              <w:jc w:val="center"/>
              <w:cnfStyle w:val="000000100000"/>
              <w:rPr>
                <w:sz w:val="24"/>
                <w:szCs w:val="24"/>
              </w:rPr>
            </w:pPr>
          </w:p>
        </w:tc>
      </w:tr>
      <w:tr w:rsidR="00040DF5" w:rsidRPr="003E2AE3" w:rsidTr="00E53F4A">
        <w:tc>
          <w:tcPr>
            <w:cnfStyle w:val="001000000000"/>
            <w:tcW w:w="2358" w:type="dxa"/>
            <w:vAlign w:val="center"/>
          </w:tcPr>
          <w:p w:rsidR="00040DF5" w:rsidRPr="00040DF5" w:rsidRDefault="00040DF5" w:rsidP="00040DF5">
            <w:pPr>
              <w:jc w:val="center"/>
              <w:rPr>
                <w:b w:val="0"/>
                <w:sz w:val="24"/>
                <w:szCs w:val="24"/>
              </w:rPr>
            </w:pPr>
            <w:r w:rsidRPr="00040DF5">
              <w:rPr>
                <w:b w:val="0"/>
                <w:sz w:val="24"/>
                <w:szCs w:val="24"/>
              </w:rPr>
              <w:t>Major Subdivision</w:t>
            </w:r>
          </w:p>
        </w:tc>
        <w:tc>
          <w:tcPr>
            <w:tcW w:w="1350" w:type="dxa"/>
            <w:vAlign w:val="center"/>
          </w:tcPr>
          <w:p w:rsidR="00040DF5" w:rsidRPr="00040DF5" w:rsidRDefault="00040DF5" w:rsidP="00040DF5">
            <w:pPr>
              <w:jc w:val="center"/>
              <w:cnfStyle w:val="000000000000"/>
              <w:rPr>
                <w:sz w:val="24"/>
                <w:szCs w:val="24"/>
              </w:rPr>
            </w:pPr>
            <w:r>
              <w:rPr>
                <w:sz w:val="24"/>
                <w:szCs w:val="24"/>
              </w:rPr>
              <w:t>$1,000.00</w:t>
            </w:r>
          </w:p>
        </w:tc>
        <w:tc>
          <w:tcPr>
            <w:tcW w:w="2322" w:type="dxa"/>
            <w:vAlign w:val="center"/>
          </w:tcPr>
          <w:p w:rsidR="00040DF5" w:rsidRPr="00040DF5" w:rsidRDefault="00040DF5" w:rsidP="00040DF5">
            <w:pPr>
              <w:jc w:val="center"/>
              <w:cnfStyle w:val="000000000000"/>
              <w:rPr>
                <w:sz w:val="24"/>
                <w:szCs w:val="24"/>
              </w:rPr>
            </w:pPr>
            <w:r>
              <w:rPr>
                <w:sz w:val="24"/>
                <w:szCs w:val="24"/>
              </w:rPr>
              <w:t>$25 plus $25 per lot over 5</w:t>
            </w:r>
          </w:p>
        </w:tc>
        <w:tc>
          <w:tcPr>
            <w:tcW w:w="3492" w:type="dxa"/>
            <w:vAlign w:val="center"/>
          </w:tcPr>
          <w:p w:rsidR="00040DF5" w:rsidRPr="00040DF5" w:rsidRDefault="00040DF5" w:rsidP="00040DF5">
            <w:pPr>
              <w:ind w:right="-83"/>
              <w:jc w:val="center"/>
              <w:cnfStyle w:val="000000000000"/>
              <w:rPr>
                <w:sz w:val="24"/>
                <w:szCs w:val="24"/>
              </w:rPr>
            </w:pPr>
            <w:r>
              <w:rPr>
                <w:sz w:val="24"/>
                <w:szCs w:val="24"/>
              </w:rPr>
              <w:t>As invoiced to Township</w:t>
            </w:r>
          </w:p>
        </w:tc>
      </w:tr>
      <w:tr w:rsidR="00040DF5" w:rsidRPr="003E2AE3" w:rsidTr="00E53F4A">
        <w:trPr>
          <w:cnfStyle w:val="000000100000"/>
        </w:trPr>
        <w:tc>
          <w:tcPr>
            <w:cnfStyle w:val="001000000000"/>
            <w:tcW w:w="2358" w:type="dxa"/>
            <w:tcBorders>
              <w:left w:val="none" w:sz="0" w:space="0" w:color="auto"/>
              <w:right w:val="none" w:sz="0" w:space="0" w:color="auto"/>
            </w:tcBorders>
          </w:tcPr>
          <w:p w:rsidR="00040DF5" w:rsidRPr="00040DF5" w:rsidRDefault="00040DF5" w:rsidP="003E2AE3">
            <w:pPr>
              <w:jc w:val="center"/>
              <w:rPr>
                <w:b w:val="0"/>
                <w:sz w:val="24"/>
                <w:szCs w:val="24"/>
              </w:rPr>
            </w:pPr>
          </w:p>
        </w:tc>
        <w:tc>
          <w:tcPr>
            <w:tcW w:w="1350" w:type="dxa"/>
            <w:tcBorders>
              <w:left w:val="none" w:sz="0" w:space="0" w:color="auto"/>
              <w:right w:val="none" w:sz="0" w:space="0" w:color="auto"/>
            </w:tcBorders>
          </w:tcPr>
          <w:p w:rsidR="00040DF5" w:rsidRPr="00040DF5" w:rsidRDefault="00040DF5" w:rsidP="003E2AE3">
            <w:pPr>
              <w:jc w:val="center"/>
              <w:cnfStyle w:val="000000100000"/>
              <w:rPr>
                <w:sz w:val="24"/>
                <w:szCs w:val="24"/>
              </w:rPr>
            </w:pPr>
          </w:p>
        </w:tc>
        <w:tc>
          <w:tcPr>
            <w:tcW w:w="2322" w:type="dxa"/>
            <w:tcBorders>
              <w:left w:val="none" w:sz="0" w:space="0" w:color="auto"/>
              <w:right w:val="none" w:sz="0" w:space="0" w:color="auto"/>
            </w:tcBorders>
          </w:tcPr>
          <w:p w:rsidR="00040DF5" w:rsidRPr="00040DF5" w:rsidRDefault="00040DF5" w:rsidP="003E2AE3">
            <w:pPr>
              <w:jc w:val="center"/>
              <w:cnfStyle w:val="000000100000"/>
              <w:rPr>
                <w:sz w:val="24"/>
                <w:szCs w:val="24"/>
              </w:rPr>
            </w:pPr>
          </w:p>
        </w:tc>
        <w:tc>
          <w:tcPr>
            <w:tcW w:w="3492" w:type="dxa"/>
            <w:tcBorders>
              <w:left w:val="none" w:sz="0" w:space="0" w:color="auto"/>
              <w:right w:val="none" w:sz="0" w:space="0" w:color="auto"/>
            </w:tcBorders>
          </w:tcPr>
          <w:p w:rsidR="00040DF5" w:rsidRPr="00040DF5" w:rsidRDefault="00040DF5" w:rsidP="003E2AE3">
            <w:pPr>
              <w:ind w:right="-83"/>
              <w:jc w:val="center"/>
              <w:cnfStyle w:val="000000100000"/>
              <w:rPr>
                <w:sz w:val="24"/>
                <w:szCs w:val="24"/>
              </w:rPr>
            </w:pPr>
          </w:p>
        </w:tc>
      </w:tr>
      <w:tr w:rsidR="00040DF5" w:rsidRPr="003E2AE3" w:rsidTr="00E53F4A">
        <w:tc>
          <w:tcPr>
            <w:cnfStyle w:val="001000000000"/>
            <w:tcW w:w="2358" w:type="dxa"/>
            <w:vAlign w:val="center"/>
          </w:tcPr>
          <w:p w:rsidR="00040DF5" w:rsidRPr="00040DF5" w:rsidRDefault="00040DF5" w:rsidP="00040DF5">
            <w:pPr>
              <w:jc w:val="center"/>
              <w:rPr>
                <w:b w:val="0"/>
                <w:sz w:val="24"/>
                <w:szCs w:val="24"/>
              </w:rPr>
            </w:pPr>
            <w:r>
              <w:rPr>
                <w:b w:val="0"/>
                <w:sz w:val="24"/>
                <w:szCs w:val="24"/>
              </w:rPr>
              <w:t>Land Development</w:t>
            </w:r>
          </w:p>
        </w:tc>
        <w:tc>
          <w:tcPr>
            <w:tcW w:w="1350" w:type="dxa"/>
            <w:vAlign w:val="center"/>
          </w:tcPr>
          <w:p w:rsidR="00040DF5" w:rsidRPr="00040DF5" w:rsidRDefault="00040DF5" w:rsidP="00040DF5">
            <w:pPr>
              <w:jc w:val="center"/>
              <w:cnfStyle w:val="000000000000"/>
              <w:rPr>
                <w:sz w:val="24"/>
                <w:szCs w:val="24"/>
              </w:rPr>
            </w:pPr>
            <w:r>
              <w:rPr>
                <w:sz w:val="24"/>
                <w:szCs w:val="24"/>
              </w:rPr>
              <w:t>$1,000.00</w:t>
            </w:r>
          </w:p>
        </w:tc>
        <w:tc>
          <w:tcPr>
            <w:tcW w:w="2322" w:type="dxa"/>
            <w:vAlign w:val="center"/>
          </w:tcPr>
          <w:p w:rsidR="00040DF5" w:rsidRPr="00040DF5" w:rsidRDefault="00040DF5" w:rsidP="00040DF5">
            <w:pPr>
              <w:jc w:val="center"/>
              <w:cnfStyle w:val="000000000000"/>
              <w:rPr>
                <w:sz w:val="24"/>
                <w:szCs w:val="24"/>
              </w:rPr>
            </w:pPr>
            <w:r>
              <w:rPr>
                <w:sz w:val="24"/>
                <w:szCs w:val="24"/>
              </w:rPr>
              <w:t>$25</w:t>
            </w:r>
            <w:r w:rsidR="00BB024A">
              <w:rPr>
                <w:sz w:val="24"/>
                <w:szCs w:val="24"/>
              </w:rPr>
              <w:t>.00</w:t>
            </w:r>
          </w:p>
        </w:tc>
        <w:tc>
          <w:tcPr>
            <w:tcW w:w="3492" w:type="dxa"/>
            <w:vAlign w:val="center"/>
          </w:tcPr>
          <w:p w:rsidR="00040DF5" w:rsidRPr="00040DF5" w:rsidRDefault="00BB024A" w:rsidP="00040DF5">
            <w:pPr>
              <w:ind w:right="-83"/>
              <w:jc w:val="center"/>
              <w:cnfStyle w:val="000000000000"/>
              <w:rPr>
                <w:sz w:val="24"/>
                <w:szCs w:val="24"/>
              </w:rPr>
            </w:pPr>
            <w:r>
              <w:rPr>
                <w:sz w:val="24"/>
                <w:szCs w:val="24"/>
              </w:rPr>
              <w:t>As invoiced to Township</w:t>
            </w:r>
          </w:p>
        </w:tc>
      </w:tr>
      <w:tr w:rsidR="00040DF5" w:rsidRPr="003E2AE3" w:rsidTr="00E53F4A">
        <w:trPr>
          <w:cnfStyle w:val="000000100000"/>
        </w:trPr>
        <w:tc>
          <w:tcPr>
            <w:cnfStyle w:val="001000000000"/>
            <w:tcW w:w="2358" w:type="dxa"/>
            <w:tcBorders>
              <w:left w:val="none" w:sz="0" w:space="0" w:color="auto"/>
              <w:right w:val="none" w:sz="0" w:space="0" w:color="auto"/>
            </w:tcBorders>
          </w:tcPr>
          <w:p w:rsidR="003E2AE3" w:rsidRPr="00040DF5" w:rsidRDefault="003E2AE3" w:rsidP="003E2AE3">
            <w:pPr>
              <w:jc w:val="center"/>
              <w:rPr>
                <w:b w:val="0"/>
                <w:sz w:val="24"/>
                <w:szCs w:val="24"/>
              </w:rPr>
            </w:pPr>
          </w:p>
        </w:tc>
        <w:tc>
          <w:tcPr>
            <w:tcW w:w="1350" w:type="dxa"/>
            <w:tcBorders>
              <w:left w:val="none" w:sz="0" w:space="0" w:color="auto"/>
              <w:right w:val="none" w:sz="0" w:space="0" w:color="auto"/>
            </w:tcBorders>
          </w:tcPr>
          <w:p w:rsidR="003E2AE3" w:rsidRPr="00040DF5" w:rsidRDefault="003E2AE3" w:rsidP="003E2AE3">
            <w:pPr>
              <w:jc w:val="center"/>
              <w:cnfStyle w:val="000000100000"/>
              <w:rPr>
                <w:sz w:val="24"/>
                <w:szCs w:val="24"/>
              </w:rPr>
            </w:pPr>
          </w:p>
        </w:tc>
        <w:tc>
          <w:tcPr>
            <w:tcW w:w="2322" w:type="dxa"/>
            <w:tcBorders>
              <w:left w:val="none" w:sz="0" w:space="0" w:color="auto"/>
              <w:right w:val="none" w:sz="0" w:space="0" w:color="auto"/>
            </w:tcBorders>
          </w:tcPr>
          <w:p w:rsidR="003E2AE3" w:rsidRPr="00040DF5" w:rsidRDefault="003E2AE3" w:rsidP="003E2AE3">
            <w:pPr>
              <w:jc w:val="center"/>
              <w:cnfStyle w:val="000000100000"/>
              <w:rPr>
                <w:sz w:val="24"/>
                <w:szCs w:val="24"/>
              </w:rPr>
            </w:pPr>
          </w:p>
        </w:tc>
        <w:tc>
          <w:tcPr>
            <w:tcW w:w="3492" w:type="dxa"/>
            <w:tcBorders>
              <w:left w:val="none" w:sz="0" w:space="0" w:color="auto"/>
              <w:right w:val="none" w:sz="0" w:space="0" w:color="auto"/>
            </w:tcBorders>
          </w:tcPr>
          <w:p w:rsidR="003E2AE3" w:rsidRPr="00040DF5" w:rsidRDefault="003E2AE3" w:rsidP="003E2AE3">
            <w:pPr>
              <w:ind w:right="-83"/>
              <w:jc w:val="center"/>
              <w:cnfStyle w:val="000000100000"/>
              <w:rPr>
                <w:sz w:val="24"/>
                <w:szCs w:val="24"/>
              </w:rPr>
            </w:pPr>
          </w:p>
        </w:tc>
      </w:tr>
      <w:tr w:rsidR="00BB024A" w:rsidRPr="003E2AE3" w:rsidTr="00E53F4A">
        <w:tc>
          <w:tcPr>
            <w:cnfStyle w:val="001000000000"/>
            <w:tcW w:w="2358" w:type="dxa"/>
            <w:vAlign w:val="center"/>
          </w:tcPr>
          <w:p w:rsidR="00BB024A" w:rsidRPr="00BB024A" w:rsidRDefault="00BB024A" w:rsidP="00BB024A">
            <w:pPr>
              <w:jc w:val="center"/>
              <w:rPr>
                <w:b w:val="0"/>
                <w:sz w:val="24"/>
                <w:szCs w:val="24"/>
              </w:rPr>
            </w:pPr>
            <w:r w:rsidRPr="00BB024A">
              <w:rPr>
                <w:b w:val="0"/>
                <w:sz w:val="24"/>
                <w:szCs w:val="24"/>
              </w:rPr>
              <w:t>Stormwater Management Plan</w:t>
            </w:r>
          </w:p>
        </w:tc>
        <w:tc>
          <w:tcPr>
            <w:tcW w:w="1350" w:type="dxa"/>
            <w:vAlign w:val="center"/>
          </w:tcPr>
          <w:p w:rsidR="00BB024A" w:rsidRPr="00040DF5" w:rsidRDefault="00BB024A" w:rsidP="00BB024A">
            <w:pPr>
              <w:jc w:val="center"/>
              <w:cnfStyle w:val="000000000000"/>
              <w:rPr>
                <w:sz w:val="24"/>
                <w:szCs w:val="24"/>
              </w:rPr>
            </w:pPr>
            <w:r>
              <w:rPr>
                <w:sz w:val="24"/>
                <w:szCs w:val="24"/>
              </w:rPr>
              <w:t>$500.00</w:t>
            </w:r>
          </w:p>
        </w:tc>
        <w:tc>
          <w:tcPr>
            <w:tcW w:w="2322" w:type="dxa"/>
            <w:vAlign w:val="center"/>
          </w:tcPr>
          <w:p w:rsidR="00BB024A" w:rsidRPr="00040DF5" w:rsidRDefault="00BB024A" w:rsidP="00BB024A">
            <w:pPr>
              <w:jc w:val="center"/>
              <w:cnfStyle w:val="000000000000"/>
              <w:rPr>
                <w:sz w:val="24"/>
                <w:szCs w:val="24"/>
              </w:rPr>
            </w:pPr>
            <w:r>
              <w:rPr>
                <w:sz w:val="24"/>
                <w:szCs w:val="24"/>
              </w:rPr>
              <w:t>N/A</w:t>
            </w:r>
          </w:p>
        </w:tc>
        <w:tc>
          <w:tcPr>
            <w:tcW w:w="3492" w:type="dxa"/>
            <w:vAlign w:val="center"/>
          </w:tcPr>
          <w:p w:rsidR="00BB024A" w:rsidRPr="00040DF5" w:rsidRDefault="00BB024A" w:rsidP="00BB024A">
            <w:pPr>
              <w:jc w:val="center"/>
              <w:cnfStyle w:val="000000000000"/>
              <w:rPr>
                <w:sz w:val="24"/>
                <w:szCs w:val="24"/>
              </w:rPr>
            </w:pPr>
            <w:r>
              <w:rPr>
                <w:sz w:val="24"/>
                <w:szCs w:val="24"/>
              </w:rPr>
              <w:t>As invoiced to Township</w:t>
            </w:r>
          </w:p>
        </w:tc>
      </w:tr>
      <w:tr w:rsidR="00BB024A" w:rsidRPr="003E2AE3" w:rsidTr="00E53F4A">
        <w:trPr>
          <w:cnfStyle w:val="000000100000"/>
        </w:trPr>
        <w:tc>
          <w:tcPr>
            <w:cnfStyle w:val="001000000000"/>
            <w:tcW w:w="2358" w:type="dxa"/>
            <w:tcBorders>
              <w:left w:val="none" w:sz="0" w:space="0" w:color="auto"/>
              <w:right w:val="none" w:sz="0" w:space="0" w:color="auto"/>
            </w:tcBorders>
          </w:tcPr>
          <w:p w:rsidR="00BB024A" w:rsidRPr="00040DF5" w:rsidRDefault="00BB024A" w:rsidP="003E2AE3">
            <w:pPr>
              <w:jc w:val="center"/>
              <w:rPr>
                <w:sz w:val="24"/>
                <w:szCs w:val="24"/>
              </w:rPr>
            </w:pPr>
          </w:p>
        </w:tc>
        <w:tc>
          <w:tcPr>
            <w:tcW w:w="1350" w:type="dxa"/>
            <w:tcBorders>
              <w:left w:val="none" w:sz="0" w:space="0" w:color="auto"/>
              <w:right w:val="none" w:sz="0" w:space="0" w:color="auto"/>
            </w:tcBorders>
          </w:tcPr>
          <w:p w:rsidR="00BB024A" w:rsidRPr="00040DF5" w:rsidRDefault="00BB024A" w:rsidP="003E2AE3">
            <w:pPr>
              <w:jc w:val="center"/>
              <w:cnfStyle w:val="000000100000"/>
              <w:rPr>
                <w:sz w:val="24"/>
                <w:szCs w:val="24"/>
              </w:rPr>
            </w:pPr>
          </w:p>
        </w:tc>
        <w:tc>
          <w:tcPr>
            <w:tcW w:w="2322" w:type="dxa"/>
            <w:tcBorders>
              <w:left w:val="none" w:sz="0" w:space="0" w:color="auto"/>
              <w:right w:val="none" w:sz="0" w:space="0" w:color="auto"/>
            </w:tcBorders>
          </w:tcPr>
          <w:p w:rsidR="00BB024A" w:rsidRPr="00040DF5" w:rsidRDefault="00BB024A" w:rsidP="003E2AE3">
            <w:pPr>
              <w:jc w:val="center"/>
              <w:cnfStyle w:val="000000100000"/>
              <w:rPr>
                <w:sz w:val="24"/>
                <w:szCs w:val="24"/>
              </w:rPr>
            </w:pPr>
          </w:p>
        </w:tc>
        <w:tc>
          <w:tcPr>
            <w:tcW w:w="3492" w:type="dxa"/>
            <w:tcBorders>
              <w:left w:val="none" w:sz="0" w:space="0" w:color="auto"/>
              <w:right w:val="none" w:sz="0" w:space="0" w:color="auto"/>
            </w:tcBorders>
          </w:tcPr>
          <w:p w:rsidR="00BB024A" w:rsidRPr="00040DF5" w:rsidRDefault="00BB024A" w:rsidP="003E2AE3">
            <w:pPr>
              <w:jc w:val="center"/>
              <w:cnfStyle w:val="000000100000"/>
              <w:rPr>
                <w:sz w:val="24"/>
                <w:szCs w:val="24"/>
              </w:rPr>
            </w:pPr>
          </w:p>
        </w:tc>
      </w:tr>
      <w:tr w:rsidR="003E2AE3" w:rsidRPr="003E2AE3" w:rsidTr="00E53F4A">
        <w:tc>
          <w:tcPr>
            <w:cnfStyle w:val="001000000000"/>
            <w:tcW w:w="2358" w:type="dxa"/>
            <w:vAlign w:val="center"/>
          </w:tcPr>
          <w:p w:rsidR="003E2AE3" w:rsidRPr="00040DF5" w:rsidRDefault="00BB024A" w:rsidP="00BB024A">
            <w:pPr>
              <w:jc w:val="center"/>
              <w:rPr>
                <w:b w:val="0"/>
                <w:sz w:val="24"/>
                <w:szCs w:val="24"/>
              </w:rPr>
            </w:pPr>
            <w:r>
              <w:rPr>
                <w:b w:val="0"/>
                <w:sz w:val="24"/>
                <w:szCs w:val="24"/>
              </w:rPr>
              <w:t>Land Use Permit</w:t>
            </w:r>
          </w:p>
        </w:tc>
        <w:tc>
          <w:tcPr>
            <w:tcW w:w="1350" w:type="dxa"/>
            <w:vAlign w:val="center"/>
          </w:tcPr>
          <w:p w:rsidR="003E2AE3" w:rsidRPr="00040DF5" w:rsidRDefault="00BB024A" w:rsidP="00BB024A">
            <w:pPr>
              <w:jc w:val="center"/>
              <w:cnfStyle w:val="000000000000"/>
              <w:rPr>
                <w:sz w:val="24"/>
                <w:szCs w:val="24"/>
              </w:rPr>
            </w:pPr>
            <w:r>
              <w:rPr>
                <w:sz w:val="24"/>
                <w:szCs w:val="24"/>
              </w:rPr>
              <w:t>$0.00</w:t>
            </w:r>
          </w:p>
        </w:tc>
        <w:tc>
          <w:tcPr>
            <w:tcW w:w="2322" w:type="dxa"/>
            <w:vAlign w:val="center"/>
          </w:tcPr>
          <w:p w:rsidR="003E2AE3" w:rsidRPr="00040DF5" w:rsidRDefault="00BB024A" w:rsidP="00BB024A">
            <w:pPr>
              <w:jc w:val="center"/>
              <w:cnfStyle w:val="000000000000"/>
              <w:rPr>
                <w:sz w:val="24"/>
                <w:szCs w:val="24"/>
              </w:rPr>
            </w:pPr>
            <w:r>
              <w:rPr>
                <w:sz w:val="24"/>
                <w:szCs w:val="24"/>
              </w:rPr>
              <w:t>$5.00 on first $1,000; $1.00 on each $1,000 thereafter</w:t>
            </w:r>
          </w:p>
        </w:tc>
        <w:tc>
          <w:tcPr>
            <w:tcW w:w="3492" w:type="dxa"/>
            <w:vAlign w:val="center"/>
          </w:tcPr>
          <w:p w:rsidR="003E2AE3" w:rsidRPr="00040DF5" w:rsidRDefault="00BB024A" w:rsidP="00BB024A">
            <w:pPr>
              <w:jc w:val="center"/>
              <w:cnfStyle w:val="000000000000"/>
              <w:rPr>
                <w:sz w:val="24"/>
                <w:szCs w:val="24"/>
              </w:rPr>
            </w:pPr>
            <w:r>
              <w:rPr>
                <w:sz w:val="24"/>
                <w:szCs w:val="24"/>
              </w:rPr>
              <w:t>N/A</w:t>
            </w:r>
          </w:p>
        </w:tc>
      </w:tr>
    </w:tbl>
    <w:p w:rsidR="003E2AE3" w:rsidRDefault="003E2AE3" w:rsidP="003E2AE3">
      <w:pPr>
        <w:jc w:val="center"/>
        <w:rPr>
          <w:b/>
          <w:sz w:val="18"/>
          <w:szCs w:val="18"/>
        </w:rPr>
      </w:pPr>
    </w:p>
    <w:p w:rsidR="00BB024A" w:rsidRDefault="00BB024A" w:rsidP="00BB024A">
      <w:pPr>
        <w:rPr>
          <w:sz w:val="24"/>
          <w:szCs w:val="24"/>
        </w:rPr>
      </w:pPr>
      <w:r>
        <w:rPr>
          <w:sz w:val="24"/>
          <w:szCs w:val="24"/>
        </w:rPr>
        <w:t>The Deposit is established to reimburse the Township for all reasonable costs associated with the Application.</w:t>
      </w:r>
    </w:p>
    <w:p w:rsidR="00BB024A" w:rsidRDefault="00BB024A" w:rsidP="00BB024A">
      <w:pPr>
        <w:rPr>
          <w:sz w:val="24"/>
          <w:szCs w:val="24"/>
        </w:rPr>
      </w:pPr>
      <w:r>
        <w:rPr>
          <w:sz w:val="24"/>
          <w:szCs w:val="24"/>
        </w:rPr>
        <w:t>Administration Fees include reimbursement for secretarial costs, Board members, Zoning Officer, advertising costs and administrative overhead. (Legal expenses are not included in administrative fees.)</w:t>
      </w:r>
    </w:p>
    <w:p w:rsidR="00BB024A" w:rsidRPr="00BB024A" w:rsidRDefault="00BB024A" w:rsidP="00BB024A">
      <w:pPr>
        <w:rPr>
          <w:sz w:val="24"/>
          <w:szCs w:val="24"/>
        </w:rPr>
      </w:pPr>
      <w:r>
        <w:rPr>
          <w:sz w:val="24"/>
          <w:szCs w:val="24"/>
        </w:rPr>
        <w:t>Engineer/Professional Consultants fees include review fees charged to Wayne Township by professional consultants or engineers for review and report thereon to the Township. (Township Solicitor fees are not included.)</w:t>
      </w:r>
    </w:p>
    <w:sectPr w:rsidR="00BB024A" w:rsidRPr="00BB024A" w:rsidSect="00F64896">
      <w:pgSz w:w="12240" w:h="15840"/>
      <w:pgMar w:top="117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2AE3"/>
    <w:rsid w:val="00040DF5"/>
    <w:rsid w:val="003E2AE3"/>
    <w:rsid w:val="00AB502F"/>
    <w:rsid w:val="00BB024A"/>
    <w:rsid w:val="00C911C7"/>
    <w:rsid w:val="00E53F4A"/>
    <w:rsid w:val="00F64896"/>
    <w:rsid w:val="00F80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A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E2AE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Wayne1</dc:creator>
  <cp:lastModifiedBy>Wayne1</cp:lastModifiedBy>
  <cp:revision>2</cp:revision>
  <cp:lastPrinted>2017-07-11T16:34:00Z</cp:lastPrinted>
  <dcterms:created xsi:type="dcterms:W3CDTF">2017-07-11T15:52:00Z</dcterms:created>
  <dcterms:modified xsi:type="dcterms:W3CDTF">2017-07-11T16:34:00Z</dcterms:modified>
</cp:coreProperties>
</file>